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8A86A" w14:textId="4611F47D" w:rsidR="00C80048" w:rsidRDefault="00C80048" w:rsidP="00C80048">
      <w:pPr>
        <w:rPr>
          <w:b/>
          <w:bCs/>
          <w:sz w:val="32"/>
          <w:szCs w:val="32"/>
        </w:rPr>
      </w:pPr>
      <w:r>
        <w:rPr>
          <w:b/>
          <w:bCs/>
          <w:sz w:val="32"/>
          <w:szCs w:val="32"/>
        </w:rPr>
        <w:t>HUISHOUDELIJK REGLEMENT KNKB</w:t>
      </w:r>
    </w:p>
    <w:p w14:paraId="6886011B" w14:textId="0C7CB857" w:rsidR="00C80048" w:rsidRPr="00C80048" w:rsidRDefault="00C80048" w:rsidP="00C80048">
      <w:pPr>
        <w:rPr>
          <w:b/>
          <w:bCs/>
          <w:sz w:val="32"/>
          <w:szCs w:val="32"/>
        </w:rPr>
      </w:pPr>
      <w:r w:rsidRPr="00C80048">
        <w:rPr>
          <w:b/>
          <w:bCs/>
          <w:sz w:val="32"/>
          <w:szCs w:val="32"/>
        </w:rPr>
        <w:t>Organisatie</w:t>
      </w:r>
    </w:p>
    <w:p w14:paraId="6964FC0D" w14:textId="76BC1FFD" w:rsidR="00C80048" w:rsidRPr="00C80048" w:rsidRDefault="00C80048" w:rsidP="00C80048">
      <w:r w:rsidRPr="00C80048">
        <w:rPr>
          <w:b/>
          <w:bCs/>
        </w:rPr>
        <w:t>Artikel 1</w:t>
      </w:r>
      <w:r w:rsidRPr="00C80048">
        <w:br/>
        <w:t xml:space="preserve">Een vereniging moet - tenzij het </w:t>
      </w:r>
      <w:r w:rsidRPr="00C80048">
        <w:rPr>
          <w:highlight w:val="yellow"/>
        </w:rPr>
        <w:t>hoofdbestuur</w:t>
      </w:r>
      <w:r w:rsidRPr="00C80048">
        <w:t xml:space="preserve"> dispensatie verleent - ten minste tien leden tellen.</w:t>
      </w:r>
      <w:r>
        <w:t xml:space="preserve"> </w:t>
      </w:r>
      <w:r w:rsidRPr="00C80048">
        <w:t xml:space="preserve">De oprichting, de naamgeving, de naamsverandering en de ontbinding van een vereniging behoeven de goedkeuring van het </w:t>
      </w:r>
      <w:r w:rsidRPr="00C80048">
        <w:rPr>
          <w:highlight w:val="yellow"/>
        </w:rPr>
        <w:t>hoofdbestuur.</w:t>
      </w:r>
      <w:r>
        <w:t xml:space="preserve"> </w:t>
      </w:r>
      <w:r w:rsidRPr="00C80048">
        <w:t>Als een vereniging kaatswedstrijden houdt onder een bepaalde naam, al dan niet gepaard gaande met donaties, mag de KNKB, hierna te noemen bond, bij opheffing van een dergelijke vereniging (behoudens goedkeuring van de schenkers van de donatie) die wedstrijden op de zelfde manier en zo mogelijk op de zelfde plaats organiseren.</w:t>
      </w:r>
      <w:r w:rsidRPr="00C80048">
        <w:br/>
      </w:r>
      <w:r w:rsidRPr="00C80048">
        <w:br/>
      </w:r>
      <w:r w:rsidRPr="00C80048">
        <w:rPr>
          <w:b/>
          <w:bCs/>
        </w:rPr>
        <w:t>Artikel 2</w:t>
      </w:r>
      <w:r w:rsidRPr="00C80048">
        <w:br/>
        <w:t>De verenigingen zijn vrij in hun interne organisatie, mits deze niet in strijd is met de statuten en reglementen van de bond.</w:t>
      </w:r>
      <w:r w:rsidRPr="00C80048">
        <w:br/>
      </w:r>
      <w:r w:rsidRPr="00C80048">
        <w:br/>
      </w:r>
      <w:r w:rsidRPr="00C80048">
        <w:rPr>
          <w:b/>
          <w:bCs/>
        </w:rPr>
        <w:t>Artikel 3</w:t>
      </w:r>
      <w:r w:rsidRPr="00C80048">
        <w:rPr>
          <w:b/>
          <w:bCs/>
        </w:rPr>
        <w:br/>
      </w:r>
      <w:r w:rsidRPr="00C80048">
        <w:rPr>
          <w:highlight w:val="yellow"/>
        </w:rPr>
        <w:t>Iedere vereniging ontvangt gratis één exemplaar van de statuten en de reglementen. Ook ontvangt elke vereniging een adressenlijst en een wedstrijdrooster.</w:t>
      </w:r>
      <w:r w:rsidRPr="00C80048">
        <w:br/>
      </w:r>
      <w:r w:rsidRPr="00C80048">
        <w:br/>
      </w:r>
      <w:r w:rsidRPr="00C80048">
        <w:rPr>
          <w:b/>
          <w:bCs/>
          <w:highlight w:val="yellow"/>
        </w:rPr>
        <w:t>Artikel 4</w:t>
      </w:r>
      <w:r w:rsidRPr="00C80048">
        <w:rPr>
          <w:highlight w:val="yellow"/>
        </w:rPr>
        <w:br/>
        <w:t>De verenigingen melden jaarlijks vóór 1 februari van het desbetreffende verenigingsjaar aan het hoofdbestuur:</w:t>
      </w:r>
      <w:r w:rsidRPr="00C80048">
        <w:rPr>
          <w:highlight w:val="yellow"/>
        </w:rPr>
        <w:br/>
        <w:t>a. het aantal leden, dat de vereniging telt per 1 januari van dat zelfde jaar; ondersteunende leden worden gelijk gesteld met gewone leden; hierbij wordt onderscheid gemaakt in senioren en junioren, dames, jongens, meisjes, schooljongens, schoolmeisjes, pupillen en welpen;</w:t>
      </w:r>
      <w:r w:rsidRPr="00C80048">
        <w:rPr>
          <w:highlight w:val="yellow"/>
        </w:rPr>
        <w:br/>
        <w:t>b. de samenstelling van het dagelijks bestuur; de in de loop van het verenigingsjaar plaats vindende mutaties dienen zo spoedig mogelijk te worden gemeld.</w:t>
      </w:r>
    </w:p>
    <w:p w14:paraId="32BBDAA6" w14:textId="6AEEE21A" w:rsidR="00C80048" w:rsidRPr="00C80048" w:rsidRDefault="00C80048" w:rsidP="00C80048">
      <w:pPr>
        <w:rPr>
          <w:b/>
          <w:bCs/>
          <w:sz w:val="32"/>
          <w:szCs w:val="32"/>
        </w:rPr>
      </w:pPr>
      <w:r w:rsidRPr="00C80048">
        <w:rPr>
          <w:b/>
          <w:bCs/>
          <w:sz w:val="32"/>
          <w:szCs w:val="32"/>
        </w:rPr>
        <w:t>Algemene Vergadering</w:t>
      </w:r>
    </w:p>
    <w:p w14:paraId="5FA71783" w14:textId="322A4351" w:rsidR="00C80048" w:rsidRDefault="00C80048" w:rsidP="00C80048">
      <w:pPr>
        <w:rPr>
          <w:b/>
          <w:bCs/>
        </w:rPr>
      </w:pPr>
      <w:r w:rsidRPr="00C80048">
        <w:rPr>
          <w:b/>
          <w:bCs/>
        </w:rPr>
        <w:t>Artikel 5</w:t>
      </w:r>
      <w:r w:rsidRPr="00C80048">
        <w:br/>
        <w:t>Elke vereniging is door één afgevaardigde op de algemene vergadering</w:t>
      </w:r>
      <w:r>
        <w:t xml:space="preserve"> </w:t>
      </w:r>
      <w:r w:rsidRPr="00C80048">
        <w:t>vertegenwoordigd. De afgevaardigde oefent namens de vereniging stemrecht uit. Ten bewijze, dat hij/zij als zodanig zal optreden, moet de afgevaardigde de presentielijst tekenen. Aan de besprekingen nemen alleen de afgevaardigden en de hoofdbestuursleden deel. Leden van door het hoofdbestuur ingestelde commissies en andere organisaties kunnen met toestemming of op verzoek van de voorzitter aan de discussie deelnemen.</w:t>
      </w:r>
      <w:r>
        <w:t xml:space="preserve"> </w:t>
      </w:r>
      <w:r w:rsidRPr="00C80048">
        <w:t xml:space="preserve">De afgevaardigde kan zich tijdens de vergadering laten bijstaan door één lid van de eigen vereniging, mits dit voor de aanvang van de vergadering </w:t>
      </w:r>
      <w:r w:rsidRPr="00C80048">
        <w:lastRenderedPageBreak/>
        <w:t>kenbaar is gemaakt; dit lid mag aan de besprekingen deelnemen.</w:t>
      </w:r>
      <w:r w:rsidRPr="00C80048">
        <w:br/>
      </w:r>
      <w:r w:rsidRPr="00C80048">
        <w:br/>
      </w:r>
      <w:r w:rsidRPr="00C80048">
        <w:rPr>
          <w:b/>
          <w:bCs/>
        </w:rPr>
        <w:t>Artikel 6</w:t>
      </w:r>
      <w:r w:rsidRPr="00C80048">
        <w:rPr>
          <w:b/>
          <w:bCs/>
        </w:rPr>
        <w:br/>
      </w:r>
      <w:r w:rsidRPr="00C80048">
        <w:t>De verenigingen ontvangen ten minste vier weken voor de algemene vergadering de agenda die de te behandelen punten vermeldt. Niet geconvoceerde onderwerpen worden niet in behandeling genomen, dan na goedkeuring van ten minste drie</w:t>
      </w:r>
      <w:r w:rsidRPr="00C80048">
        <w:t xml:space="preserve"> </w:t>
      </w:r>
      <w:r w:rsidRPr="00C80048">
        <w:t>vierde der door de afgevaardigden uit te brengen stemmen. Deze onderwerpen mogen geen betrekking hebben op wijziging van de statuten of reglementen.</w:t>
      </w:r>
      <w:r w:rsidRPr="00C80048">
        <w:br/>
      </w:r>
      <w:r w:rsidRPr="00C80048">
        <w:br/>
      </w:r>
      <w:r w:rsidRPr="00C80048">
        <w:rPr>
          <w:b/>
          <w:bCs/>
        </w:rPr>
        <w:t>Artikel 7</w:t>
      </w:r>
      <w:r w:rsidRPr="00C80048">
        <w:br/>
        <w:t xml:space="preserve">Een vereniging heeft het recht om uiterlijk 8 weken voor de vastgestelde datum van een algemene vergadering voorstellen voor de volgende algemene vergadering in te dienen bij het </w:t>
      </w:r>
      <w:r w:rsidRPr="00C80048">
        <w:rPr>
          <w:highlight w:val="yellow"/>
        </w:rPr>
        <w:t>hoofdbestuur</w:t>
      </w:r>
      <w:r w:rsidRPr="00C80048">
        <w:t xml:space="preserve">. Deze voorstellen moeten het besluit van de ledenvergadering van de betrokken vereniging bevatten en dienen ondertekend te zijn door de voorzitter en de secretaris van de betrokken vereniging. Elk voorstel moet zo mogelijk zijn voorzien van een duidelijke </w:t>
      </w:r>
      <w:proofErr w:type="spellStart"/>
      <w:r w:rsidRPr="00C80048">
        <w:t>toelichting.Voorstellen</w:t>
      </w:r>
      <w:proofErr w:type="spellEnd"/>
      <w:r w:rsidRPr="00C80048">
        <w:t xml:space="preserve">, die op een algemene vergadering zijn verworpen, mogen binnen drie jaar niet weer op de beschrijvingsbrief worden geplaatst, tenzij ze door het </w:t>
      </w:r>
      <w:r w:rsidRPr="00C80048">
        <w:rPr>
          <w:highlight w:val="yellow"/>
        </w:rPr>
        <w:t>hoofdbestuur</w:t>
      </w:r>
      <w:r w:rsidRPr="00C80048">
        <w:t xml:space="preserve"> worden aangeboden. Amendementen op de voorstellen van de beschrijvingsbrief moeten het </w:t>
      </w:r>
      <w:r w:rsidRPr="00C80048">
        <w:rPr>
          <w:highlight w:val="yellow"/>
        </w:rPr>
        <w:t>hoofdbestuur</w:t>
      </w:r>
      <w:r w:rsidRPr="00C80048">
        <w:t xml:space="preserve"> ten minste 3 weken voor de dag, waarop de algemene vergadering gehouden wordt, bereiken. De amendementen worden zo spoedig mogelijk ter kennis van de verenigingen </w:t>
      </w:r>
      <w:proofErr w:type="spellStart"/>
      <w:r w:rsidRPr="00C80048">
        <w:t>gebracht.Op</w:t>
      </w:r>
      <w:proofErr w:type="spellEnd"/>
      <w:r w:rsidRPr="00C80048">
        <w:t xml:space="preserve"> de algemene vergadering bestaat het recht van amendement, mits gesteund door de afgevaardigden van drie verenigingen, de indienende vereniging niet meegerekend.</w:t>
      </w:r>
      <w:r w:rsidRPr="00C80048">
        <w:br/>
      </w:r>
      <w:r w:rsidRPr="00C80048">
        <w:br/>
      </w:r>
      <w:r w:rsidRPr="00C80048">
        <w:rPr>
          <w:b/>
          <w:bCs/>
        </w:rPr>
        <w:t>Artikel 8</w:t>
      </w:r>
      <w:r w:rsidRPr="00C80048">
        <w:br/>
        <w:t>Stemming bij acclamatie kan door de voorzitter worden toegestaan, tenzij één der aanwezige afgevaardigden zich daartegen verzet.</w:t>
      </w:r>
      <w:r>
        <w:t xml:space="preserve"> </w:t>
      </w:r>
      <w:r w:rsidRPr="00C80048">
        <w:t>Voor de telling van de stemmen wordt een stemcommissie gevormd, bestaande uit drie door de voorzitter aan te wijzen personen, afkomstig uit drie verenigingen.</w:t>
      </w:r>
      <w:r w:rsidRPr="00C80048">
        <w:br/>
      </w:r>
      <w:r w:rsidRPr="00C80048">
        <w:br/>
      </w:r>
      <w:r w:rsidRPr="00C80048">
        <w:rPr>
          <w:b/>
          <w:bCs/>
        </w:rPr>
        <w:t>Artikel 9</w:t>
      </w:r>
      <w:r w:rsidRPr="00C80048">
        <w:rPr>
          <w:b/>
          <w:bCs/>
        </w:rPr>
        <w:br/>
      </w:r>
      <w:r w:rsidRPr="00C80048">
        <w:t>Elke vereniging brengt op de algemene vergadering zoveel stemmen uit, als waarop ze recht heeft naar de volgende maatstaf:</w:t>
      </w:r>
      <w:r w:rsidRPr="00C80048">
        <w:br/>
        <w:t>-verenigingen met minder dan 51 leden : 1 stem;</w:t>
      </w:r>
      <w:r w:rsidRPr="00C80048">
        <w:br/>
        <w:t>-verenigingen met 51 tot en met 100 leden : 2 stemmen;</w:t>
      </w:r>
      <w:r w:rsidRPr="00C80048">
        <w:br/>
        <w:t>-verenigingen met 101 tot en met 200 leden : 3 stemmen;</w:t>
      </w:r>
      <w:r w:rsidRPr="00C80048">
        <w:br/>
        <w:t>-verenigingen met 201 tot en met 300 leden : 4 stemmen;</w:t>
      </w:r>
      <w:r w:rsidRPr="00C80048">
        <w:br/>
        <w:t>-verenigingen met meer dan 300 leden : 5 stemmen.</w:t>
      </w:r>
      <w:r w:rsidRPr="00C80048">
        <w:br/>
        <w:t>Bij niet voldoen aan het bepaalde in artikel 4, onder a, brengt de vereniging ter algemene vergadering niet meer dan 1 stem uit.</w:t>
      </w:r>
    </w:p>
    <w:p w14:paraId="6BBFDC8E" w14:textId="14D62B1C" w:rsidR="00C80048" w:rsidRPr="00C80048" w:rsidRDefault="00C80048" w:rsidP="00C80048">
      <w:r w:rsidRPr="00C80048">
        <w:rPr>
          <w:b/>
          <w:bCs/>
        </w:rPr>
        <w:lastRenderedPageBreak/>
        <w:t>Artikel 10</w:t>
      </w:r>
      <w:r w:rsidRPr="00C80048">
        <w:rPr>
          <w:b/>
          <w:bCs/>
        </w:rPr>
        <w:br/>
      </w:r>
      <w:r w:rsidRPr="00C80048">
        <w:t>De algemene vergadering stelt de bijdragen vast, die verschuldigd zijn aan de algemene middelen van de bond.</w:t>
      </w:r>
      <w:r>
        <w:t xml:space="preserve"> </w:t>
      </w:r>
      <w:r w:rsidRPr="00C80048">
        <w:t>Deze bijdragen hebben betrekking op:</w:t>
      </w:r>
      <w:r w:rsidRPr="00C80048">
        <w:br/>
        <w:t>-de contributie van de verenigingen en bij de vereniging aangesloten leden;</w:t>
      </w:r>
      <w:r w:rsidRPr="00C80048">
        <w:br/>
        <w:t>-de donaties van hen, die de bond rechtstreeks ondersteunen;</w:t>
      </w:r>
      <w:r w:rsidRPr="00C80048">
        <w:br/>
      </w:r>
      <w:r w:rsidRPr="00C80048">
        <w:rPr>
          <w:highlight w:val="yellow"/>
        </w:rPr>
        <w:t>-het abonnement van het bondsorgaan.</w:t>
      </w:r>
      <w:r w:rsidRPr="00C80048">
        <w:br/>
      </w:r>
      <w:r w:rsidRPr="00C80048">
        <w:rPr>
          <w:highlight w:val="yellow"/>
        </w:rPr>
        <w:t>Voor het vaststellen van de contributie is het aantal leden per 1 januari van het afgelopen verenigingsjaar bepalend. De bijdragen worden voor 1 mei van dat verenigingsjaar verrekend. Verenigingen, die niet aan deze verplichting voldoen, kan toestemming voor het houden van wedstrijden worden onthouden. Deze verenigingen kunnen ook worden uitgesloten van deelname aan bondswedstrijden.</w:t>
      </w:r>
    </w:p>
    <w:p w14:paraId="3A7D3404" w14:textId="77777777" w:rsidR="00C80048" w:rsidRPr="00C80048" w:rsidRDefault="00C80048" w:rsidP="00C80048">
      <w:pPr>
        <w:rPr>
          <w:b/>
          <w:bCs/>
          <w:sz w:val="32"/>
          <w:szCs w:val="32"/>
        </w:rPr>
      </w:pPr>
      <w:r w:rsidRPr="00C80048">
        <w:rPr>
          <w:b/>
          <w:bCs/>
          <w:sz w:val="32"/>
          <w:szCs w:val="32"/>
          <w:highlight w:val="yellow"/>
        </w:rPr>
        <w:t>Hoofdbestuur</w:t>
      </w:r>
    </w:p>
    <w:p w14:paraId="70413DD0" w14:textId="313B27B0" w:rsidR="00C80048" w:rsidRPr="00C80048" w:rsidRDefault="00C80048" w:rsidP="00C80048">
      <w:r w:rsidRPr="00C80048">
        <w:rPr>
          <w:b/>
          <w:bCs/>
        </w:rPr>
        <w:t>Artikel 11</w:t>
      </w:r>
      <w:r w:rsidRPr="00C80048">
        <w:rPr>
          <w:b/>
          <w:bCs/>
        </w:rPr>
        <w:br/>
      </w:r>
      <w:r w:rsidRPr="00C80048">
        <w:t xml:space="preserve">Het </w:t>
      </w:r>
      <w:r w:rsidRPr="00C80048">
        <w:rPr>
          <w:highlight w:val="yellow"/>
        </w:rPr>
        <w:t>hoofdbestuur</w:t>
      </w:r>
      <w:r w:rsidRPr="00C80048">
        <w:t xml:space="preserve"> bestaat uit ten minste 5 en ten hoogste 7 leden, te weten:</w:t>
      </w:r>
      <w:r w:rsidRPr="00C80048">
        <w:br/>
        <w:t>een voorzitter, een secretaris, een penningmeester en ten minste 2 leden.</w:t>
      </w:r>
      <w:r w:rsidRPr="00C80048">
        <w:br/>
        <w:t xml:space="preserve">De algemene vergadering kiest de voorzitter; de andere functies worden door het </w:t>
      </w:r>
      <w:r w:rsidRPr="00C80048">
        <w:rPr>
          <w:highlight w:val="yellow"/>
        </w:rPr>
        <w:t>hoofdbestuur</w:t>
      </w:r>
      <w:r w:rsidRPr="00C80048">
        <w:t xml:space="preserve"> onderling verdeeld. Eén van de bestuursleden wordt binnen het bestuur aangewezen als plaatsvervangend voorzitter.</w:t>
      </w:r>
      <w:r>
        <w:t xml:space="preserve"> </w:t>
      </w:r>
      <w:r w:rsidRPr="00C80048">
        <w:t>De voorzitter, secretaris en penningmeester treden zo mogelijk af in verschillende jaren.</w:t>
      </w:r>
      <w:r>
        <w:t xml:space="preserve"> </w:t>
      </w:r>
      <w:r w:rsidRPr="00C80048">
        <w:t xml:space="preserve">Taken kunnen extern worden gedelegeerd; het </w:t>
      </w:r>
      <w:r w:rsidRPr="00C80048">
        <w:rPr>
          <w:highlight w:val="yellow"/>
        </w:rPr>
        <w:t>hoofdbestuur</w:t>
      </w:r>
      <w:r w:rsidRPr="00C80048">
        <w:t xml:space="preserve"> blijft echter verantwoordelijk.</w:t>
      </w:r>
      <w:r w:rsidRPr="00C80048">
        <w:br/>
      </w:r>
      <w:r w:rsidRPr="00C80048">
        <w:br/>
      </w:r>
      <w:r w:rsidRPr="00C80048">
        <w:rPr>
          <w:b/>
          <w:bCs/>
        </w:rPr>
        <w:t>Artikel 12</w:t>
      </w:r>
      <w:r w:rsidRPr="00C80048">
        <w:rPr>
          <w:b/>
          <w:bCs/>
        </w:rPr>
        <w:br/>
      </w:r>
      <w:r w:rsidRPr="00C80048">
        <w:t xml:space="preserve">Het </w:t>
      </w:r>
      <w:r w:rsidRPr="00C80048">
        <w:rPr>
          <w:highlight w:val="yellow"/>
        </w:rPr>
        <w:t>hoofdbestuur</w:t>
      </w:r>
      <w:r w:rsidRPr="00C80048">
        <w:t xml:space="preserve"> biedt voor de verkiezing van hoofdbestuursleden voor elke vacature of periodieke aftreding een aanbeveling aan met zo mogelijk de namen van twee kandidaten.</w:t>
      </w:r>
      <w:r>
        <w:t xml:space="preserve"> </w:t>
      </w:r>
      <w:r w:rsidRPr="00C80048">
        <w:t xml:space="preserve">Ten minste drie verenigingen hebben het recht om uiterlijk 8 weken voor de datum van de volgende algemene vergadering een kandidaat voor het </w:t>
      </w:r>
      <w:r w:rsidRPr="00C80048">
        <w:rPr>
          <w:highlight w:val="yellow"/>
        </w:rPr>
        <w:t>hoofdbestuur</w:t>
      </w:r>
      <w:r w:rsidRPr="00C80048">
        <w:t xml:space="preserve"> voor te stellen.</w:t>
      </w:r>
      <w:r>
        <w:t xml:space="preserve"> </w:t>
      </w:r>
      <w:r w:rsidRPr="00C80048">
        <w:t xml:space="preserve">Het </w:t>
      </w:r>
      <w:r w:rsidRPr="00C80048">
        <w:rPr>
          <w:highlight w:val="yellow"/>
        </w:rPr>
        <w:t>hoofdbestuur</w:t>
      </w:r>
      <w:r w:rsidRPr="00C80048">
        <w:t xml:space="preserve"> maakt uiterlijk in de maand december van het aan de algemene vergadering voorafgaande jaar bekend welke vacatures te vervullen zijn.</w:t>
      </w:r>
      <w:r w:rsidRPr="00C80048">
        <w:br/>
      </w:r>
      <w:r w:rsidRPr="00C80048">
        <w:br/>
      </w:r>
      <w:r w:rsidRPr="00C80048">
        <w:rPr>
          <w:b/>
          <w:bCs/>
        </w:rPr>
        <w:t>Artikel 13</w:t>
      </w:r>
      <w:r w:rsidRPr="00C80048">
        <w:rPr>
          <w:b/>
          <w:bCs/>
        </w:rPr>
        <w:br/>
      </w:r>
      <w:r w:rsidRPr="00C80048">
        <w:t>Commissies en werkgroepen zijn, met uitzondering van de straf- en de</w:t>
      </w:r>
      <w:r>
        <w:t xml:space="preserve"> </w:t>
      </w:r>
      <w:r w:rsidRPr="00C80048">
        <w:t xml:space="preserve">beroepscommissie, verantwoording schuldig aan het </w:t>
      </w:r>
      <w:r w:rsidRPr="00C80048">
        <w:rPr>
          <w:highlight w:val="yellow"/>
        </w:rPr>
        <w:t>hoofdbestuur</w:t>
      </w:r>
      <w:r w:rsidRPr="00C80048">
        <w:t xml:space="preserve">, dat op zijn beurt ten opzichte van de algemene vergadering verantwoordelijk blijft voor het totale beleid. De taakomschrijving van de commissies en werkgroepen wordt vastgelegd en vastgesteld door het </w:t>
      </w:r>
      <w:r w:rsidRPr="00C80048">
        <w:rPr>
          <w:highlight w:val="yellow"/>
        </w:rPr>
        <w:t>hoofdbestuur</w:t>
      </w:r>
      <w:r w:rsidRPr="00C80048">
        <w:t>, na overleg met de commissies.</w:t>
      </w:r>
      <w:r w:rsidRPr="00C80048">
        <w:br/>
      </w:r>
      <w:r w:rsidRPr="00C80048">
        <w:br/>
      </w:r>
      <w:r w:rsidRPr="00C80048">
        <w:rPr>
          <w:b/>
          <w:bCs/>
        </w:rPr>
        <w:t>Artikel 14</w:t>
      </w:r>
      <w:r w:rsidRPr="00C80048">
        <w:rPr>
          <w:b/>
          <w:bCs/>
        </w:rPr>
        <w:br/>
      </w:r>
      <w:r w:rsidRPr="00C80048">
        <w:t xml:space="preserve">Het </w:t>
      </w:r>
      <w:r w:rsidRPr="00C80048">
        <w:rPr>
          <w:highlight w:val="yellow"/>
        </w:rPr>
        <w:t>hoofdbestuur</w:t>
      </w:r>
      <w:r w:rsidRPr="00C80048">
        <w:t xml:space="preserve"> reikt een insigne uit aan ereleden en aan leden van verdienste. Ook kan het </w:t>
      </w:r>
      <w:r w:rsidRPr="00C80048">
        <w:rPr>
          <w:highlight w:val="yellow"/>
        </w:rPr>
        <w:t>hoofdbestuur</w:t>
      </w:r>
      <w:r w:rsidRPr="00C80048">
        <w:t xml:space="preserve"> een insigne uitreiken aan personen die zich als speler of op plaatselijk niveau bijzonder verdienstelijk hebben gemaakt (het zogenaamde </w:t>
      </w:r>
      <w:r w:rsidRPr="00C80048">
        <w:lastRenderedPageBreak/>
        <w:t xml:space="preserve">bondsinsigne). </w:t>
      </w:r>
      <w:r w:rsidRPr="00C80048">
        <w:rPr>
          <w:highlight w:val="yellow"/>
        </w:rPr>
        <w:t>Het insigne, uitgereikt aan ereleden en aan leden van verdienste, geeft recht op vrije toegang tot alle door de bond zelf georganiseerde wedstrijden.</w:t>
      </w:r>
      <w:r w:rsidRPr="00C80048">
        <w:br/>
      </w:r>
      <w:r w:rsidRPr="00C80048">
        <w:br/>
      </w:r>
      <w:r w:rsidRPr="00C80048">
        <w:rPr>
          <w:b/>
          <w:bCs/>
        </w:rPr>
        <w:t>Artikel 15</w:t>
      </w:r>
      <w:r w:rsidRPr="00C80048">
        <w:rPr>
          <w:b/>
          <w:bCs/>
        </w:rPr>
        <w:br/>
      </w:r>
      <w:r w:rsidRPr="00C80048">
        <w:t xml:space="preserve">Het </w:t>
      </w:r>
      <w:r w:rsidRPr="00C80048">
        <w:rPr>
          <w:highlight w:val="yellow"/>
        </w:rPr>
        <w:t>hoofdbestuur</w:t>
      </w:r>
      <w:r w:rsidRPr="00C80048">
        <w:t xml:space="preserve"> is bevoegd personeel aan te stellen en werkzaamheden aan derden op te dragen. De hieraan verbonden kosten zijn via de begroting en jaarrekening aan de goedkeuring van de algemene vergadering onderworpen. Administratie-, reis- en vergaderkosten van </w:t>
      </w:r>
      <w:r w:rsidRPr="00C80048">
        <w:rPr>
          <w:highlight w:val="yellow"/>
        </w:rPr>
        <w:t>hoofdbestuur</w:t>
      </w:r>
      <w:r w:rsidRPr="00C80048">
        <w:t xml:space="preserve"> en commissies worden bestreden uit de algemene middelen van de bond.</w:t>
      </w:r>
    </w:p>
    <w:p w14:paraId="11ED55E4" w14:textId="77777777" w:rsidR="00C80048" w:rsidRPr="00C80048" w:rsidRDefault="00C80048" w:rsidP="00C80048">
      <w:pPr>
        <w:rPr>
          <w:b/>
          <w:bCs/>
          <w:sz w:val="32"/>
          <w:szCs w:val="32"/>
        </w:rPr>
      </w:pPr>
      <w:r w:rsidRPr="00C80048">
        <w:rPr>
          <w:b/>
          <w:bCs/>
          <w:sz w:val="32"/>
          <w:szCs w:val="32"/>
        </w:rPr>
        <w:t>Wedstrijden</w:t>
      </w:r>
    </w:p>
    <w:p w14:paraId="5904D315" w14:textId="4641B13F" w:rsidR="00C80048" w:rsidRPr="00C80048" w:rsidRDefault="00C80048" w:rsidP="00C80048">
      <w:r w:rsidRPr="00C80048">
        <w:rPr>
          <w:b/>
          <w:bCs/>
        </w:rPr>
        <w:t>Artikel 16</w:t>
      </w:r>
      <w:r w:rsidRPr="00C80048">
        <w:rPr>
          <w:b/>
          <w:bCs/>
        </w:rPr>
        <w:br/>
      </w:r>
      <w:r w:rsidRPr="00C80048">
        <w:t>De indeling van het veld, de regels van het kaatsspel en de regeling van de wedstrijden worden vastgelegd in een kaatsreglement. Dit reglement geeft ook de rechten en plichten aan van de deelnemers aan het spel.</w:t>
      </w:r>
      <w:r>
        <w:t xml:space="preserve"> </w:t>
      </w:r>
      <w:r w:rsidRPr="00C80048">
        <w:t>Wedstrijden, niet uitsluitend bedoeld voor leden van een vereniging of van verenigingen binnen een federatie en niet voorkomend op het wedstrijdrooster, behoeven eveneens de goedkeuring van het hoofdbestuur. Deze goedkeuring wordt aangevraagd door het bestuur van de vereniging, waar de wedstrijd wordt gehouden. Het betrokken verenigingsbestuur is verantwoordelijk voor het naleven en doen naleven van de door het hoofdbestuur gestelde voorwaarden.</w:t>
      </w:r>
    </w:p>
    <w:p w14:paraId="2922C2DE" w14:textId="77777777" w:rsidR="00C80048" w:rsidRPr="00C80048" w:rsidRDefault="00C80048" w:rsidP="00C80048">
      <w:pPr>
        <w:rPr>
          <w:b/>
          <w:bCs/>
          <w:sz w:val="32"/>
          <w:szCs w:val="32"/>
        </w:rPr>
      </w:pPr>
      <w:r w:rsidRPr="00C80048">
        <w:rPr>
          <w:b/>
          <w:bCs/>
          <w:sz w:val="32"/>
          <w:szCs w:val="32"/>
        </w:rPr>
        <w:t>Slotbepalingen</w:t>
      </w:r>
    </w:p>
    <w:p w14:paraId="121F676F" w14:textId="1A655910" w:rsidR="00C80048" w:rsidRDefault="00C80048" w:rsidP="00C80048">
      <w:pPr>
        <w:rPr>
          <w:b/>
          <w:bCs/>
        </w:rPr>
      </w:pPr>
      <w:r w:rsidRPr="00C80048">
        <w:rPr>
          <w:b/>
          <w:bCs/>
        </w:rPr>
        <w:t>Artikel 17</w:t>
      </w:r>
      <w:r w:rsidRPr="00C80048">
        <w:rPr>
          <w:b/>
          <w:bCs/>
        </w:rPr>
        <w:br/>
      </w:r>
      <w:r w:rsidRPr="00C80048">
        <w:t>De reglementen dienen door de verenigingen te worden nageleefd.</w:t>
      </w:r>
      <w:r>
        <w:t xml:space="preserve"> </w:t>
      </w:r>
      <w:r w:rsidRPr="00C80048">
        <w:t>Nieuwe bepalingen in de reglementen, door de algemene vergadering vastgesteld, treden in werking met ingang van het kalenderjaar, waarin de algemene vergadering de wijzigingen vaststelt, tenzij de algemene vergadering anders beslist.</w:t>
      </w:r>
      <w:r w:rsidRPr="00C80048">
        <w:br/>
      </w:r>
      <w:r w:rsidRPr="00C80048">
        <w:br/>
      </w:r>
      <w:r w:rsidRPr="00C80048">
        <w:rPr>
          <w:b/>
          <w:bCs/>
        </w:rPr>
        <w:t>Artikel 18</w:t>
      </w:r>
      <w:r w:rsidRPr="00C80048">
        <w:br/>
        <w:t>De bond is aangesloten bij de NOC*NSF en eventuele andere overkoepelende organisaties.</w:t>
      </w:r>
      <w:r>
        <w:t xml:space="preserve"> </w:t>
      </w:r>
      <w:r w:rsidRPr="00C80048">
        <w:t>Het bestuur kan zich bij deze organisaties laten vertegenwoordigen door leden van het hoofdbestuur of andere door het hoofdbestuur aangewezen personen.</w:t>
      </w:r>
      <w:r w:rsidRPr="00C80048">
        <w:br/>
      </w:r>
      <w:r w:rsidRPr="00C80048">
        <w:br/>
      </w:r>
      <w:r w:rsidRPr="00C80048">
        <w:rPr>
          <w:b/>
          <w:bCs/>
        </w:rPr>
        <w:t>Artikel 19</w:t>
      </w:r>
      <w:r w:rsidRPr="00C80048">
        <w:br/>
        <w:t xml:space="preserve">Elke niet-nakoming van dit reglement wordt beboet met maximaal eenhonderd euro </w:t>
      </w:r>
      <w:r w:rsidRPr="00C80048">
        <w:rPr>
          <w:highlight w:val="yellow"/>
        </w:rPr>
        <w:t>(€ 100,-).</w:t>
      </w:r>
      <w:r w:rsidRPr="00C80048">
        <w:br/>
      </w:r>
      <w:r w:rsidRPr="00C80048">
        <w:br/>
      </w:r>
      <w:r w:rsidRPr="00C80048">
        <w:rPr>
          <w:b/>
          <w:bCs/>
        </w:rPr>
        <w:t>Artikel 20</w:t>
      </w:r>
      <w:r>
        <w:rPr>
          <w:b/>
          <w:bCs/>
        </w:rPr>
        <w:t xml:space="preserve"> </w:t>
      </w:r>
    </w:p>
    <w:p w14:paraId="2179B9F0" w14:textId="77408C96" w:rsidR="000125D1" w:rsidRDefault="00C80048">
      <w:r w:rsidRPr="00C80048">
        <w:t>In geval van twijfel of verschil van mening omtrent de uitleg van dit reglement beslist het hoofdbestuur.</w:t>
      </w:r>
    </w:p>
    <w:sectPr w:rsidR="00012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48"/>
    <w:rsid w:val="000125D1"/>
    <w:rsid w:val="004053D7"/>
    <w:rsid w:val="00BC5BE4"/>
    <w:rsid w:val="00C800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165C"/>
  <w15:chartTrackingRefBased/>
  <w15:docId w15:val="{5CC5E603-C920-4707-86A7-6BFA141A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00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800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800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800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800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800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00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00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00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00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800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800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800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800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800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00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00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0048"/>
    <w:rPr>
      <w:rFonts w:eastAsiaTheme="majorEastAsia" w:cstheme="majorBidi"/>
      <w:color w:val="272727" w:themeColor="text1" w:themeTint="D8"/>
    </w:rPr>
  </w:style>
  <w:style w:type="paragraph" w:styleId="Titel">
    <w:name w:val="Title"/>
    <w:basedOn w:val="Standaard"/>
    <w:next w:val="Standaard"/>
    <w:link w:val="TitelChar"/>
    <w:uiPriority w:val="10"/>
    <w:qFormat/>
    <w:rsid w:val="00C80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00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00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00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00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0048"/>
    <w:rPr>
      <w:i/>
      <w:iCs/>
      <w:color w:val="404040" w:themeColor="text1" w:themeTint="BF"/>
    </w:rPr>
  </w:style>
  <w:style w:type="paragraph" w:styleId="Lijstalinea">
    <w:name w:val="List Paragraph"/>
    <w:basedOn w:val="Standaard"/>
    <w:uiPriority w:val="34"/>
    <w:qFormat/>
    <w:rsid w:val="00C80048"/>
    <w:pPr>
      <w:ind w:left="720"/>
      <w:contextualSpacing/>
    </w:pPr>
  </w:style>
  <w:style w:type="character" w:styleId="Intensievebenadrukking">
    <w:name w:val="Intense Emphasis"/>
    <w:basedOn w:val="Standaardalinea-lettertype"/>
    <w:uiPriority w:val="21"/>
    <w:qFormat/>
    <w:rsid w:val="00C80048"/>
    <w:rPr>
      <w:i/>
      <w:iCs/>
      <w:color w:val="0F4761" w:themeColor="accent1" w:themeShade="BF"/>
    </w:rPr>
  </w:style>
  <w:style w:type="paragraph" w:styleId="Duidelijkcitaat">
    <w:name w:val="Intense Quote"/>
    <w:basedOn w:val="Standaard"/>
    <w:next w:val="Standaard"/>
    <w:link w:val="DuidelijkcitaatChar"/>
    <w:uiPriority w:val="30"/>
    <w:qFormat/>
    <w:rsid w:val="00C80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80048"/>
    <w:rPr>
      <w:i/>
      <w:iCs/>
      <w:color w:val="0F4761" w:themeColor="accent1" w:themeShade="BF"/>
    </w:rPr>
  </w:style>
  <w:style w:type="character" w:styleId="Intensieveverwijzing">
    <w:name w:val="Intense Reference"/>
    <w:basedOn w:val="Standaardalinea-lettertype"/>
    <w:uiPriority w:val="32"/>
    <w:qFormat/>
    <w:rsid w:val="00C800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173140">
      <w:bodyDiv w:val="1"/>
      <w:marLeft w:val="0"/>
      <w:marRight w:val="0"/>
      <w:marTop w:val="0"/>
      <w:marBottom w:val="0"/>
      <w:divBdr>
        <w:top w:val="none" w:sz="0" w:space="0" w:color="auto"/>
        <w:left w:val="none" w:sz="0" w:space="0" w:color="auto"/>
        <w:bottom w:val="none" w:sz="0" w:space="0" w:color="auto"/>
        <w:right w:val="none" w:sz="0" w:space="0" w:color="auto"/>
      </w:divBdr>
    </w:div>
    <w:div w:id="19674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DE05B415B1442B027E58305C719BE" ma:contentTypeVersion="15" ma:contentTypeDescription="Een nieuw document maken." ma:contentTypeScope="" ma:versionID="7347daf5dc2f15fa43cad78e3350cd3a">
  <xsd:schema xmlns:xsd="http://www.w3.org/2001/XMLSchema" xmlns:xs="http://www.w3.org/2001/XMLSchema" xmlns:p="http://schemas.microsoft.com/office/2006/metadata/properties" xmlns:ns2="78c47e3e-780f-4c03-abe2-a400325b549e" xmlns:ns3="f635af17-39a8-4550-ad87-7e6a3d3b1b77" targetNamespace="http://schemas.microsoft.com/office/2006/metadata/properties" ma:root="true" ma:fieldsID="25cd0a5abde8c7e7073caaa15a6a4521" ns2:_="" ns3:_="">
    <xsd:import namespace="78c47e3e-780f-4c03-abe2-a400325b549e"/>
    <xsd:import namespace="f635af17-39a8-4550-ad87-7e6a3d3b1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47e3e-780f-4c03-abe2-a400325b5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3d0cecc-f745-42df-940c-3063ef1a0e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35af17-39a8-4550-ad87-7e6a3d3b1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6fd0b2f-8736-4ce5-a974-eefbef0bd09a}" ma:internalName="TaxCatchAll" ma:showField="CatchAllData" ma:web="f635af17-39a8-4550-ad87-7e6a3d3b1b7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35af17-39a8-4550-ad87-7e6a3d3b1b77" xsi:nil="true"/>
    <lcf76f155ced4ddcb4097134ff3c332f xmlns="78c47e3e-780f-4c03-abe2-a400325b54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D994AA-12CA-4B58-A0B1-4E5D045BD8F3}"/>
</file>

<file path=customXml/itemProps2.xml><?xml version="1.0" encoding="utf-8"?>
<ds:datastoreItem xmlns:ds="http://schemas.openxmlformats.org/officeDocument/2006/customXml" ds:itemID="{6621FEBF-1E19-4D51-847F-B89F2C8892D4}"/>
</file>

<file path=customXml/itemProps3.xml><?xml version="1.0" encoding="utf-8"?>
<ds:datastoreItem xmlns:ds="http://schemas.openxmlformats.org/officeDocument/2006/customXml" ds:itemID="{79F144BB-5431-4DFE-AA20-06213A3B64C6}"/>
</file>

<file path=docProps/app.xml><?xml version="1.0" encoding="utf-8"?>
<Properties xmlns="http://schemas.openxmlformats.org/officeDocument/2006/extended-properties" xmlns:vt="http://schemas.openxmlformats.org/officeDocument/2006/docPropsVTypes">
  <Template>Normal</Template>
  <TotalTime>10</TotalTime>
  <Pages>4</Pages>
  <Words>1372</Words>
  <Characters>7548</Characters>
  <Application>Microsoft Office Word</Application>
  <DocSecurity>0</DocSecurity>
  <Lines>62</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Miedema | KNKB</dc:creator>
  <cp:keywords/>
  <dc:description/>
  <cp:lastModifiedBy>Willem Miedema | KNKB</cp:lastModifiedBy>
  <cp:revision>1</cp:revision>
  <dcterms:created xsi:type="dcterms:W3CDTF">2024-11-12T10:01:00Z</dcterms:created>
  <dcterms:modified xsi:type="dcterms:W3CDTF">2024-11-12T10:11:00Z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0x0101001DFDE05B415B1442B027E58305C719BE</vt:lpwstr>
  </property>
</Properties>
</file>